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2A3A" w:rsidRPr="00342A3A" w:rsidRDefault="00342A3A" w:rsidP="00342A3A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42A3A">
        <w:rPr>
          <w:rFonts w:ascii="Times New Roman" w:hAnsi="Times New Roman" w:cs="Times New Roman"/>
          <w:b/>
          <w:sz w:val="32"/>
          <w:szCs w:val="32"/>
          <w:u w:val="single"/>
        </w:rPr>
        <w:t>CZWARTEK</w:t>
      </w:r>
    </w:p>
    <w:p w:rsidR="00342A3A" w:rsidRPr="00342A3A" w:rsidRDefault="00342A3A" w:rsidP="00342A3A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42A3A">
        <w:rPr>
          <w:rFonts w:ascii="Times New Roman" w:hAnsi="Times New Roman" w:cs="Times New Roman"/>
          <w:b/>
          <w:sz w:val="32"/>
          <w:szCs w:val="32"/>
          <w:u w:val="single"/>
        </w:rPr>
        <w:t>19.11.2020</w:t>
      </w:r>
    </w:p>
    <w:p w:rsidR="00342A3A" w:rsidRDefault="00342A3A" w:rsidP="00342A3A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</w:pPr>
    </w:p>
    <w:p w:rsidR="00342A3A" w:rsidRPr="00342A3A" w:rsidRDefault="00342A3A" w:rsidP="00342A3A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</w:pPr>
      <w:r w:rsidRPr="00342A3A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ZAJĘCIA PRAKTYCZNE</w:t>
      </w:r>
    </w:p>
    <w:p w:rsidR="00342A3A" w:rsidRDefault="00342A3A" w:rsidP="00342A3A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42A3A" w:rsidRPr="00342A3A" w:rsidRDefault="00342A3A" w:rsidP="00342A3A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TEMAT: </w:t>
      </w:r>
      <w:r w:rsidRPr="00342A3A">
        <w:rPr>
          <w:rFonts w:ascii="Times New Roman" w:hAnsi="Times New Roman" w:cs="Times New Roman"/>
          <w:b/>
          <w:sz w:val="28"/>
          <w:szCs w:val="28"/>
          <w:u w:val="single"/>
        </w:rPr>
        <w:t>Zasady demontażu połączeń</w:t>
      </w:r>
    </w:p>
    <w:p w:rsid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Podczas czynności demontażowych należy przestrzegać zasady, by części po demontażu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zachowały taki stan użyteczności, w jakim znajdowały się przed rozłączeniem. Uszkodzenia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części podczas demontażu powstają na skutek: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− wadliwego ukształtowania konstrukcji,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− stosowanie nieprawidłowych czynności demontażowych,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− złego stanu technicznego maszyny.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Prawidłowo wykonany demontaż, szczególnie maszyn w nie najlepszym stanie użytkowania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wymaga stosowania zabiegów poprzedzających demontaż, można do nich zaliczyć: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− mycie i czyszczenie zewnętrzne,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− rozluźnianie połączeń,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− wykonywanie określonych czynności mechanicznych.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Mycie i czyszczenie zewnętrzne ma decydujący wpływ na jakość demontażu, należy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bezwzględnie przyjąć zasadę, że przed demontażem samochód musi być umyty i czysty.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Rozluźnianie połączeń ma na celu usunięcie lub skruszenie produktów korozji które powstają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wewnątrz połączeń w wyniku oddziaływań atmosferycznych. Do najczęściej stosowanych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zabiegów poprzedzających demontaż połączeń należy: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lastRenderedPageBreak/>
        <w:t>− podgrzewanie części,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− stosowanie środków chemicznych,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− stosowanie określonych czynności mechanicznych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Zabezpieczanie elementów znajdujących się w obrębie napraw blacharskich oraz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zabezpieczanie zdemontowanych elementów przed zniszczeniem i przypadkowym zagubieniem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Bardzo często blacharz samochodowy wykonuje prace blacharskie na samochodzie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kompletnie wyposażonym, kiedy musi wykonać prace miejscowe, nie wymagające całkowitego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demontażu nadwozia, np. gdy w wyniku stłuczki musi odczepić zniszczony błotnik i wymienić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go na nowy lub naprawić. Zachodzi wówczas konieczność wykonywania prac w bezpośrednim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sąsiedztwie elementów podwozia i nadwozia samochodu, które nie mogą ucierpieć z powodu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prac blacharskich. Wymogiem koniecznym jest takie zabezpieczenie miejsca wykonywania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naprawy, by naprawiając jedno nie uszkodzić drugiego. Elementy wrażliwe na zabrudzenie, np.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tapicerka musi być szczelnie osłonięta i zabezpieczona; podczas prac spawalniczych należy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stosować koce azbestowe przeciwdziałające nagrzewaniu się elementów , podobnie należy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postępować podczas wycinania elementów blachy przecinarkami. Osłona przed iskrami jest tu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koniecznością. Gdy nie ma możliwości skutecznego zabezpieczenia mechanizmów czy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elementów, należy je zdemontować.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Osobnym problemem jest zabezpieczenie elementów zdemontowanych przed zagubieniem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lub przypadkowym zniszczeniem podczas okresu przechowywania. Istotną rolę spełniają tu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odpowiednie meble w warsztacie blacharskim, na których przechowuje się zdemontowane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elementy. Dlatego też warsztat blacharski powinien być wyposażony w: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− stałe lub ruchome szafki na sprzęt do obsługi samochodów kompletnych,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− stałe lub przenośne stanowisko do drobnych prac spawalniczych,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lastRenderedPageBreak/>
        <w:t>− panele do przechowywania najczęściej używanych narzędzi,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− regały do magazynowania zdemontowanych elementów.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42A3A">
        <w:rPr>
          <w:rFonts w:ascii="Times New Roman" w:hAnsi="Times New Roman" w:cs="Times New Roman"/>
          <w:b/>
          <w:bCs/>
          <w:sz w:val="28"/>
          <w:szCs w:val="28"/>
          <w:u w:val="single"/>
        </w:rPr>
        <w:t>TEMAT: Maszyny elektryczne stosowane w samochodach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W pojazdach samochodowych znajdują zastosowanie trzy rodzaje maszyn elektrycznych: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prądnice, silniki elektryczne i transformatory. Prądnica jest źródłem prądu elektrycznego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w wyniku przemiany energii mechanicznej; silnik elektryczny zasilany jest prądem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elektrycznym a skutkiem jego działania jest praca mechaniczna. Transformator służy do zmiany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parametrów prądu elektrycznego. W starszych typach samochodów stosowano prądnice prądu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stałego, które obok akumulatora były źródłem energii elektrycznej w instalacji elektrycznej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samochodu, dziś powszechnie stosuje się prądnice prądu przemiennego zwane alternatorami.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Zastosowanie silników w samochodzie jest różnorakie, zazwyczaj służą do napędu urządzeń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pomocniczych, np. napęd wycieraczek, napęd dmuchawy powietrza, napęd wentylatora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chłodnicy, napęd mechanizmu podnoszenia szyb. Transformatory znalazły zastosowanie, np.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 xml:space="preserve">jako cewki zapłonowe w układzie zapłonowym. 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Współczesne samochody wyposaża się w wiele małyc</w:t>
      </w:r>
      <w:r>
        <w:rPr>
          <w:rFonts w:ascii="Times New Roman" w:hAnsi="Times New Roman" w:cs="Times New Roman"/>
          <w:sz w:val="28"/>
          <w:szCs w:val="28"/>
        </w:rPr>
        <w:t>h silników pomocniczych, rys. 1</w:t>
      </w:r>
      <w:r w:rsidRPr="00342A3A">
        <w:rPr>
          <w:rFonts w:ascii="Times New Roman" w:hAnsi="Times New Roman" w:cs="Times New Roman"/>
          <w:sz w:val="28"/>
          <w:szCs w:val="28"/>
        </w:rPr>
        <w:t xml:space="preserve"> jest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przykładem ogromnego zastosowania silników w samochodzie.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 wp14:anchorId="6000C76A" wp14:editId="18EF136A">
            <wp:extent cx="6447818" cy="409575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9104" cy="4096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42A3A">
        <w:rPr>
          <w:rFonts w:ascii="Times New Roman" w:hAnsi="Times New Roman" w:cs="Times New Roman"/>
          <w:b/>
          <w:bCs/>
          <w:sz w:val="28"/>
          <w:szCs w:val="28"/>
        </w:rPr>
        <w:t>Maszyny wodne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Do maszyn wodnych zalicza się silniki wodne i pompy. Silniki wodne wykorzystują energię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zawartą w spiętrzonej lub płynącej wodzie i przekształcają ją w pracę mechaniczną, a ta z kolei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wykorzystywana jest do napędu generatorów. Silniki wodne zwane turbinami są podstawowym elementem elektrowni wodnej – zakładu energetycznego, którego zadaniem jest przemysłowe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wytwarzanie energii elektrycznej.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Pompy to maszyny do transportu lub zmiany energii ciśnienia cieczy. W pojazdach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samochodowych stosuje się, w szczególności pompy wirowe w układzie chłodzenia silnika,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pompy tłokowe w układzie zasilania paliwem, pompy zębate w układzie smarowania silnika.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Rysunek 2 przedstawia</w:t>
      </w:r>
      <w:r w:rsidRPr="00342A3A">
        <w:rPr>
          <w:rFonts w:ascii="Times New Roman" w:hAnsi="Times New Roman" w:cs="Times New Roman"/>
          <w:sz w:val="28"/>
          <w:szCs w:val="28"/>
        </w:rPr>
        <w:t xml:space="preserve"> zasadę działania oraz przykłady zastosowania typowych pomp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w pojazdach samochodowych. W pompach wyporowych, ruch tłoka (nurnika) wywołuje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podciśnienie (suw ssania – otwieranie zaworu ssawnego i zasysanie cieczy do przestrzeni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między zaworami) oraz nadciśnienie (suw tłoczenia – zamykanie zaworu ssawnego i otwieranie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A3A">
        <w:rPr>
          <w:rFonts w:ascii="Times New Roman" w:hAnsi="Times New Roman" w:cs="Times New Roman"/>
          <w:sz w:val="28"/>
          <w:szCs w:val="28"/>
        </w:rPr>
        <w:t>zaworu tłocznego), które wypycha ciecz do rurociągu tłocznego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44D506C" wp14:editId="45130930">
            <wp:extent cx="5760720" cy="2592766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92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Rys. 2</w:t>
      </w:r>
      <w:r w:rsidRPr="00342A3A">
        <w:rPr>
          <w:rFonts w:ascii="Times New Roman" w:hAnsi="Times New Roman" w:cs="Times New Roman"/>
          <w:sz w:val="28"/>
          <w:szCs w:val="28"/>
        </w:rPr>
        <w:t>. Zasada dzia</w:t>
      </w:r>
      <w:r>
        <w:rPr>
          <w:rFonts w:ascii="Times New Roman" w:hAnsi="Times New Roman" w:cs="Times New Roman"/>
          <w:sz w:val="28"/>
          <w:szCs w:val="28"/>
        </w:rPr>
        <w:t>łania pompy wyporowej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A3A">
        <w:rPr>
          <w:rFonts w:ascii="Times New Roman" w:hAnsi="Times New Roman" w:cs="Times New Roman"/>
          <w:sz w:val="28"/>
          <w:szCs w:val="28"/>
        </w:rPr>
        <w:t>1-nurnik, 2-zawór ssawny, 3-zawór tłoczny, r-promień korby, s-skok nurnika</w:t>
      </w: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40494" w:rsidRPr="00D40494" w:rsidRDefault="00D40494" w:rsidP="00D40494">
      <w:pPr>
        <w:spacing w:line="36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single"/>
          <w:lang w:val="en-US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  <w:u w:val="single"/>
          <w:lang w:val="en-US"/>
        </w:rPr>
        <w:t>Biofeedback –</w:t>
      </w:r>
      <w:r w:rsidRPr="00D40494">
        <w:rPr>
          <w:rFonts w:ascii="Times New Roman" w:hAnsi="Times New Roman" w:cs="Times New Roman"/>
          <w:b/>
          <w:color w:val="FF0000"/>
          <w:sz w:val="32"/>
          <w:szCs w:val="32"/>
          <w:u w:val="single"/>
          <w:lang w:val="en-US"/>
        </w:rPr>
        <w:t xml:space="preserve"> </w:t>
      </w:r>
      <w:proofErr w:type="spellStart"/>
      <w:r w:rsidRPr="00D40494">
        <w:rPr>
          <w:rFonts w:ascii="Times New Roman" w:hAnsi="Times New Roman" w:cs="Times New Roman"/>
          <w:b/>
          <w:color w:val="FF0000"/>
          <w:sz w:val="32"/>
          <w:szCs w:val="32"/>
          <w:u w:val="single"/>
          <w:lang w:val="en-US"/>
        </w:rPr>
        <w:t>Kamil</w:t>
      </w:r>
      <w:proofErr w:type="spellEnd"/>
      <w:r w:rsidRPr="00D40494">
        <w:rPr>
          <w:rFonts w:ascii="Times New Roman" w:hAnsi="Times New Roman" w:cs="Times New Roman"/>
          <w:b/>
          <w:color w:val="FF0000"/>
          <w:sz w:val="32"/>
          <w:szCs w:val="32"/>
          <w:u w:val="single"/>
          <w:lang w:val="en-US"/>
        </w:rPr>
        <w:t xml:space="preserve"> K.</w:t>
      </w:r>
    </w:p>
    <w:p w:rsidR="00D40494" w:rsidRPr="00D40494" w:rsidRDefault="00D40494" w:rsidP="00D4049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494">
        <w:rPr>
          <w:rFonts w:ascii="Times New Roman" w:hAnsi="Times New Roman" w:cs="Times New Roman"/>
          <w:sz w:val="28"/>
          <w:szCs w:val="28"/>
        </w:rPr>
        <w:t>Po całym dniu ciężkiej pracy czas na odpoczynek, wyciszenie i relaks. Posłuchaj i pięknych snów życzę.</w:t>
      </w:r>
    </w:p>
    <w:p w:rsidR="00D40494" w:rsidRPr="00D40494" w:rsidRDefault="00D40494" w:rsidP="00D4049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">
        <w:proofErr w:type="spellStart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>Расслабляющая</w:t>
        </w:r>
        <w:proofErr w:type="spellEnd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>музыка</w:t>
        </w:r>
        <w:proofErr w:type="spellEnd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>для</w:t>
        </w:r>
        <w:proofErr w:type="spellEnd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>сна</w:t>
        </w:r>
        <w:proofErr w:type="spellEnd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 xml:space="preserve"> и </w:t>
        </w:r>
        <w:proofErr w:type="spellStart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>для</w:t>
        </w:r>
        <w:proofErr w:type="spellEnd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>Души</w:t>
        </w:r>
        <w:proofErr w:type="spellEnd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 xml:space="preserve">  -  </w:t>
        </w:r>
        <w:proofErr w:type="spellStart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>Пианино</w:t>
        </w:r>
        <w:proofErr w:type="spellEnd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>Спокойная</w:t>
        </w:r>
        <w:proofErr w:type="spellEnd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>Классическая</w:t>
        </w:r>
        <w:proofErr w:type="spellEnd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>Музыка</w:t>
        </w:r>
        <w:proofErr w:type="spellEnd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>для</w:t>
        </w:r>
        <w:proofErr w:type="spellEnd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>Релаксации</w:t>
        </w:r>
        <w:proofErr w:type="spellEnd"/>
        <w:r w:rsidRPr="00D40494">
          <w:rPr>
            <w:rStyle w:val="Hipercze"/>
            <w:rFonts w:ascii="Times New Roman" w:hAnsi="Times New Roman" w:cs="Times New Roman"/>
            <w:sz w:val="28"/>
            <w:szCs w:val="28"/>
          </w:rPr>
          <w:t xml:space="preserve"> #67</w:t>
        </w:r>
      </w:hyperlink>
      <w:r w:rsidRPr="00D40494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D40494" w:rsidRPr="00D40494" w:rsidRDefault="00D40494" w:rsidP="00D4049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494">
        <w:rPr>
          <w:rFonts w:ascii="Times New Roman" w:hAnsi="Times New Roman" w:cs="Times New Roman"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 wp14:anchorId="6DD77E88" wp14:editId="7F1E073C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5724524" cy="3219450"/>
            <wp:effectExtent l="0" t="0" r="0" b="0"/>
            <wp:wrapSquare wrapText="bothSides"/>
            <wp:docPr id="1698424681" name="picture" title="Klip wideo zatytułowany: Расслабляющая музыка для сна и для Души  -  Пианино Спокойная Классическая Музыка для Релаксации #67"/>
            <wp:cNvGraphicFramePr>
              <a:graphicFrameLocks xmlns:a="http://schemas.openxmlformats.org/drawingml/2006/main" noGrp="1" noSelect="1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Grp="1" noRot="1" noChangeAspect="1" noMove="1" noResize="1" noEditPoints="1" noAdjustHandles="1" noChangeArrowheads="1" noChangeShapeType="1" noCrop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http://schemas.microsoft.com/office/word/2020/oembed">
                          <woe:oembed xmlns:woe="http://schemas.microsoft.com/office/word/2020/oembed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oEmbedUrl="https://www.youtube.com/watch?v=DXXK7MTKhLA" mediaType="Video" picLocksAutoForOEmbed="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4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0494" w:rsidRPr="00D40494" w:rsidRDefault="00D40494" w:rsidP="00D4049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40494" w:rsidRPr="00D40494" w:rsidRDefault="00D40494" w:rsidP="00D4049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2A3A" w:rsidRP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0780" w:rsidRDefault="00130780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2A3A" w:rsidRDefault="00342A3A" w:rsidP="00342A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2A3A" w:rsidRDefault="00342A3A">
      <w:pPr>
        <w:rPr>
          <w:rFonts w:ascii="Times New Roman" w:hAnsi="Times New Roman" w:cs="Times New Roman"/>
          <w:sz w:val="28"/>
          <w:szCs w:val="28"/>
        </w:rPr>
      </w:pPr>
    </w:p>
    <w:p w:rsidR="00342A3A" w:rsidRDefault="00342A3A">
      <w:pPr>
        <w:rPr>
          <w:rFonts w:ascii="Times New Roman" w:hAnsi="Times New Roman" w:cs="Times New Roman"/>
          <w:sz w:val="28"/>
          <w:szCs w:val="28"/>
        </w:rPr>
      </w:pPr>
    </w:p>
    <w:p w:rsidR="00342A3A" w:rsidRDefault="00342A3A">
      <w:pPr>
        <w:rPr>
          <w:rFonts w:ascii="Times New Roman" w:hAnsi="Times New Roman" w:cs="Times New Roman"/>
          <w:sz w:val="28"/>
          <w:szCs w:val="28"/>
        </w:rPr>
      </w:pPr>
    </w:p>
    <w:p w:rsidR="00342A3A" w:rsidRPr="00342A3A" w:rsidRDefault="00342A3A">
      <w:pPr>
        <w:rPr>
          <w:rFonts w:ascii="Times New Roman" w:hAnsi="Times New Roman" w:cs="Times New Roman"/>
          <w:sz w:val="28"/>
          <w:szCs w:val="28"/>
        </w:rPr>
      </w:pPr>
    </w:p>
    <w:sectPr w:rsidR="00342A3A" w:rsidRPr="00342A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A3A"/>
    <w:rsid w:val="00130780"/>
    <w:rsid w:val="00342A3A"/>
    <w:rsid w:val="007A7C7C"/>
    <w:rsid w:val="00D40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9F2158-BB5A-4301-8AA8-7C8487403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404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DXXK7MTKhLA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786</Words>
  <Characters>4719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Jasiuwienas</dc:creator>
  <cp:keywords/>
  <dc:description/>
  <cp:lastModifiedBy>Bogdan Jasiuwienas</cp:lastModifiedBy>
  <cp:revision>2</cp:revision>
  <dcterms:created xsi:type="dcterms:W3CDTF">2020-11-18T13:32:00Z</dcterms:created>
  <dcterms:modified xsi:type="dcterms:W3CDTF">2020-11-18T13:32:00Z</dcterms:modified>
</cp:coreProperties>
</file>