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0C98" w:rsidRDefault="00C10C98">
      <w:pPr>
        <w:rPr>
          <w:noProof/>
        </w:rPr>
      </w:pPr>
    </w:p>
    <w:p w:rsidR="00C10C98" w:rsidRPr="00692879" w:rsidRDefault="00C10C98" w:rsidP="00C10C98">
      <w:pPr>
        <w:widowControl/>
        <w:autoSpaceDE/>
        <w:autoSpaceDN/>
        <w:spacing w:line="288" w:lineRule="atLeast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bCs/>
          <w:color w:val="FF0000"/>
          <w:kern w:val="36"/>
          <w:sz w:val="32"/>
          <w:szCs w:val="32"/>
          <w:lang w:eastAsia="pl-PL"/>
        </w:rPr>
        <w:t>TERAPIA PEDAGOGICZNA                                    16.11.2020r.</w:t>
      </w:r>
    </w:p>
    <w:p w:rsidR="00C10C98" w:rsidRDefault="00C10C98" w:rsidP="00C10C98">
      <w:pPr>
        <w:widowControl/>
        <w:autoSpaceDE/>
        <w:autoSpaceDN/>
        <w:spacing w:line="288" w:lineRule="atLeast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28"/>
          <w:szCs w:val="28"/>
          <w:lang w:eastAsia="pl-PL"/>
        </w:rPr>
      </w:pPr>
    </w:p>
    <w:p w:rsidR="00C10C98" w:rsidRDefault="00C10C98" w:rsidP="00C10C98">
      <w:pPr>
        <w:widowControl/>
        <w:autoSpaceDE/>
        <w:autoSpaceDN/>
        <w:spacing w:line="288" w:lineRule="atLeast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28"/>
          <w:szCs w:val="28"/>
          <w:lang w:eastAsia="pl-PL"/>
        </w:rPr>
      </w:pPr>
      <w:r w:rsidRPr="00C10C98">
        <w:rPr>
          <w:rFonts w:ascii="Times New Roman" w:eastAsia="Times New Roman" w:hAnsi="Times New Roman" w:cs="Times New Roman"/>
          <w:b/>
          <w:bCs/>
          <w:color w:val="4472C4" w:themeColor="accent1"/>
          <w:kern w:val="36"/>
          <w:sz w:val="28"/>
          <w:szCs w:val="28"/>
          <w:lang w:eastAsia="pl-PL"/>
        </w:rPr>
        <w:t>Podział na epoki historyczne i archeologiczne</w:t>
      </w:r>
    </w:p>
    <w:p w:rsidR="00C10C98" w:rsidRPr="003111A8" w:rsidRDefault="00C10C98" w:rsidP="00C10C98">
      <w:pPr>
        <w:widowControl/>
        <w:autoSpaceDE/>
        <w:autoSpaceDN/>
        <w:spacing w:line="288" w:lineRule="atLeast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28"/>
          <w:szCs w:val="28"/>
          <w:lang w:eastAsia="pl-PL"/>
        </w:rPr>
      </w:pPr>
    </w:p>
    <w:p w:rsidR="00C10C98" w:rsidRPr="003111A8" w:rsidRDefault="00C10C98" w:rsidP="00C10C98">
      <w:pPr>
        <w:widowControl/>
        <w:shd w:val="clear" w:color="auto" w:fill="FFFFFF"/>
        <w:autoSpaceDE/>
        <w:autoSpaceDN/>
        <w:spacing w:line="312" w:lineRule="atLeast"/>
        <w:outlineLvl w:val="1"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 xml:space="preserve">W historii wyróżniamy tradycyjnie 5 </w:t>
      </w:r>
      <w:proofErr w:type="gramStart"/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epok</w:t>
      </w:r>
      <w:r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 xml:space="preserve"> </w:t>
      </w: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:</w:t>
      </w:r>
      <w:proofErr w:type="gramEnd"/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 xml:space="preserve"> </w:t>
      </w:r>
    </w:p>
    <w:p w:rsidR="00C10C98" w:rsidRPr="003111A8" w:rsidRDefault="00C10C98" w:rsidP="00C10C98">
      <w:pPr>
        <w:widowControl/>
        <w:numPr>
          <w:ilvl w:val="0"/>
          <w:numId w:val="1"/>
        </w:numPr>
        <w:shd w:val="clear" w:color="auto" w:fill="FFFFFF"/>
        <w:autoSpaceDE/>
        <w:autoSpaceDN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hyperlink r:id="rId7" w:anchor="prehistoria" w:history="1">
        <w:r w:rsidRPr="003111A8">
          <w:rPr>
            <w:rFonts w:ascii="Times New Roman" w:eastAsia="Times New Roman" w:hAnsi="Times New Roman" w:cs="Times New Roman"/>
            <w:b/>
            <w:bCs/>
            <w:color w:val="C41D49"/>
            <w:sz w:val="24"/>
            <w:szCs w:val="24"/>
            <w:bdr w:val="none" w:sz="0" w:space="0" w:color="auto" w:frame="1"/>
            <w:lang w:eastAsia="pl-PL"/>
          </w:rPr>
          <w:t>Prehistoria</w:t>
        </w:r>
        <w:r w:rsidRPr="003111A8">
          <w:rPr>
            <w:rFonts w:ascii="Times New Roman" w:eastAsia="Times New Roman" w:hAnsi="Times New Roman" w:cs="Times New Roman"/>
            <w:color w:val="C41D49"/>
            <w:sz w:val="24"/>
            <w:szCs w:val="24"/>
            <w:u w:val="single"/>
            <w:bdr w:val="none" w:sz="0" w:space="0" w:color="auto" w:frame="1"/>
            <w:lang w:eastAsia="pl-PL"/>
          </w:rPr>
          <w:t> </w:t>
        </w:r>
      </w:hyperlink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(od ok. 2,6 mln lat temu do 4000/3500 lat p.n.e.) – od początków ludzkości do wynalezienia pisma</w:t>
      </w:r>
    </w:p>
    <w:p w:rsidR="00C10C98" w:rsidRPr="003111A8" w:rsidRDefault="00C10C98" w:rsidP="00C10C98">
      <w:pPr>
        <w:widowControl/>
        <w:numPr>
          <w:ilvl w:val="0"/>
          <w:numId w:val="1"/>
        </w:numPr>
        <w:shd w:val="clear" w:color="auto" w:fill="FFFFFF"/>
        <w:autoSpaceDE/>
        <w:autoSpaceDN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hyperlink r:id="rId8" w:anchor="staro%C5%BCytno%C5%9B%C4%87" w:history="1">
        <w:r w:rsidRPr="003111A8">
          <w:rPr>
            <w:rFonts w:ascii="Times New Roman" w:eastAsia="Times New Roman" w:hAnsi="Times New Roman" w:cs="Times New Roman"/>
            <w:b/>
            <w:bCs/>
            <w:color w:val="C41D49"/>
            <w:sz w:val="24"/>
            <w:szCs w:val="24"/>
            <w:bdr w:val="none" w:sz="0" w:space="0" w:color="auto" w:frame="1"/>
            <w:lang w:eastAsia="pl-PL"/>
          </w:rPr>
          <w:t>Starożytność</w:t>
        </w:r>
        <w:r w:rsidRPr="003111A8">
          <w:rPr>
            <w:rFonts w:ascii="Times New Roman" w:eastAsia="Times New Roman" w:hAnsi="Times New Roman" w:cs="Times New Roman"/>
            <w:color w:val="C41D49"/>
            <w:sz w:val="24"/>
            <w:szCs w:val="24"/>
            <w:u w:val="single"/>
            <w:bdr w:val="none" w:sz="0" w:space="0" w:color="auto" w:frame="1"/>
            <w:lang w:eastAsia="pl-PL"/>
          </w:rPr>
          <w:t> </w:t>
        </w:r>
      </w:hyperlink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 xml:space="preserve">(od ok. 3 500 lat p.n.e. do 476 r. n.e.- od wynalezienia pisma do upadku Cesarstwa </w:t>
      </w:r>
      <w:proofErr w:type="spellStart"/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Zachodniorzymskiego</w:t>
      </w:r>
      <w:proofErr w:type="spellEnd"/>
    </w:p>
    <w:p w:rsidR="00C10C98" w:rsidRPr="003111A8" w:rsidRDefault="00C10C98" w:rsidP="00C10C98">
      <w:pPr>
        <w:widowControl/>
        <w:numPr>
          <w:ilvl w:val="0"/>
          <w:numId w:val="1"/>
        </w:numPr>
        <w:shd w:val="clear" w:color="auto" w:fill="FFFFFF"/>
        <w:autoSpaceDE/>
        <w:autoSpaceDN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hyperlink r:id="rId9" w:anchor="%C5%9Bredniowiecze" w:history="1">
        <w:r w:rsidRPr="003111A8">
          <w:rPr>
            <w:rFonts w:ascii="Times New Roman" w:eastAsia="Times New Roman" w:hAnsi="Times New Roman" w:cs="Times New Roman"/>
            <w:b/>
            <w:bCs/>
            <w:color w:val="C41D49"/>
            <w:sz w:val="24"/>
            <w:szCs w:val="24"/>
            <w:bdr w:val="none" w:sz="0" w:space="0" w:color="auto" w:frame="1"/>
            <w:lang w:eastAsia="pl-PL"/>
          </w:rPr>
          <w:t>Średniowiecze</w:t>
        </w:r>
        <w:r w:rsidRPr="003111A8">
          <w:rPr>
            <w:rFonts w:ascii="Times New Roman" w:eastAsia="Times New Roman" w:hAnsi="Times New Roman" w:cs="Times New Roman"/>
            <w:color w:val="C41D49"/>
            <w:sz w:val="24"/>
            <w:szCs w:val="24"/>
            <w:u w:val="single"/>
            <w:bdr w:val="none" w:sz="0" w:space="0" w:color="auto" w:frame="1"/>
            <w:lang w:eastAsia="pl-PL"/>
          </w:rPr>
          <w:t> </w:t>
        </w:r>
      </w:hyperlink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 xml:space="preserve">(od 476 r do XV w.) – od upadku Cesarstwa </w:t>
      </w:r>
      <w:proofErr w:type="spellStart"/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Zachodniorzym</w:t>
      </w:r>
      <w:bookmarkStart w:id="0" w:name="_GoBack"/>
      <w:bookmarkEnd w:id="0"/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skiego</w:t>
      </w:r>
      <w:proofErr w:type="spellEnd"/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 xml:space="preserve"> najczęściej do odkrycia Ameryki przez Krzysztofa Kolumba</w:t>
      </w:r>
    </w:p>
    <w:p w:rsidR="00C10C98" w:rsidRPr="003111A8" w:rsidRDefault="00C10C98" w:rsidP="00C10C98">
      <w:pPr>
        <w:widowControl/>
        <w:numPr>
          <w:ilvl w:val="0"/>
          <w:numId w:val="1"/>
        </w:numPr>
        <w:shd w:val="clear" w:color="auto" w:fill="FFFFFF"/>
        <w:autoSpaceDE/>
        <w:autoSpaceDN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hyperlink r:id="rId10" w:anchor="nowo%C5%BCytno%C5%9B%C4%87" w:history="1">
        <w:r w:rsidRPr="003111A8">
          <w:rPr>
            <w:rFonts w:ascii="Times New Roman" w:eastAsia="Times New Roman" w:hAnsi="Times New Roman" w:cs="Times New Roman"/>
            <w:b/>
            <w:bCs/>
            <w:color w:val="C41D49"/>
            <w:sz w:val="24"/>
            <w:szCs w:val="24"/>
            <w:bdr w:val="none" w:sz="0" w:space="0" w:color="auto" w:frame="1"/>
            <w:lang w:eastAsia="pl-PL"/>
          </w:rPr>
          <w:t>Nowożytność</w:t>
        </w:r>
        <w:r w:rsidRPr="003111A8">
          <w:rPr>
            <w:rFonts w:ascii="Times New Roman" w:eastAsia="Times New Roman" w:hAnsi="Times New Roman" w:cs="Times New Roman"/>
            <w:color w:val="C41D49"/>
            <w:sz w:val="24"/>
            <w:szCs w:val="24"/>
            <w:u w:val="single"/>
            <w:bdr w:val="none" w:sz="0" w:space="0" w:color="auto" w:frame="1"/>
            <w:lang w:eastAsia="pl-PL"/>
          </w:rPr>
          <w:t> </w:t>
        </w:r>
      </w:hyperlink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(od 1492 r. do 1789 r.) – najczęściej od odkrycia Ameryki do wybuchu rewolucji francuskiej</w:t>
      </w:r>
    </w:p>
    <w:p w:rsidR="00C10C98" w:rsidRPr="003111A8" w:rsidRDefault="00C10C98" w:rsidP="00C10C98">
      <w:pPr>
        <w:widowControl/>
        <w:numPr>
          <w:ilvl w:val="0"/>
          <w:numId w:val="1"/>
        </w:numPr>
        <w:shd w:val="clear" w:color="auto" w:fill="FFFFFF"/>
        <w:autoSpaceDE/>
        <w:autoSpaceDN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Epoka XIX wieku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 (od 1789 r. do 1914 r.) – od rewolucji francuskiej do wybuchu I wojny światowej</w:t>
      </w:r>
    </w:p>
    <w:p w:rsidR="00C10C98" w:rsidRPr="003111A8" w:rsidRDefault="00C10C98" w:rsidP="00C10C98">
      <w:pPr>
        <w:widowControl/>
        <w:numPr>
          <w:ilvl w:val="0"/>
          <w:numId w:val="1"/>
        </w:numPr>
        <w:shd w:val="clear" w:color="auto" w:fill="FFFFFF"/>
        <w:autoSpaceDE/>
        <w:autoSpaceDN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hyperlink r:id="rId11" w:anchor="wsp%C3%B3%C5%82czesno%C5%9B%C4%87" w:history="1">
        <w:r w:rsidRPr="003111A8">
          <w:rPr>
            <w:rFonts w:ascii="Times New Roman" w:eastAsia="Times New Roman" w:hAnsi="Times New Roman" w:cs="Times New Roman"/>
            <w:b/>
            <w:bCs/>
            <w:color w:val="C41D49"/>
            <w:sz w:val="24"/>
            <w:szCs w:val="24"/>
            <w:bdr w:val="none" w:sz="0" w:space="0" w:color="auto" w:frame="1"/>
            <w:lang w:eastAsia="pl-PL"/>
          </w:rPr>
          <w:t>Współczesność</w:t>
        </w:r>
        <w:r w:rsidRPr="003111A8">
          <w:rPr>
            <w:rFonts w:ascii="Times New Roman" w:eastAsia="Times New Roman" w:hAnsi="Times New Roman" w:cs="Times New Roman"/>
            <w:color w:val="C41D49"/>
            <w:sz w:val="24"/>
            <w:szCs w:val="24"/>
            <w:u w:val="single"/>
            <w:bdr w:val="none" w:sz="0" w:space="0" w:color="auto" w:frame="1"/>
            <w:lang w:eastAsia="pl-PL"/>
          </w:rPr>
          <w:t> </w:t>
        </w:r>
      </w:hyperlink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(od 1914 r. do dziś) – nie trzeba chyba tłumaczyć?</w:t>
      </w:r>
    </w:p>
    <w:p w:rsidR="00C10C98" w:rsidRDefault="00C10C98" w:rsidP="00C10C98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</w:p>
    <w:p w:rsidR="00C10C98" w:rsidRPr="003111A8" w:rsidRDefault="00C10C98" w:rsidP="00C10C98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 xml:space="preserve">Każda nauka dzieli umownie przeszłość na różne epoki i okresy, a te dzielą </w:t>
      </w:r>
      <w:r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się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 xml:space="preserve"> na jeszcze mniejsze. Każde dwie epoki teoretycznie rozdziela tzw. </w:t>
      </w: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cezura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, czyli przełomowe wydarzenie, które ktoś uznał, że w jakiś sposób odmieniło historię świata</w:t>
      </w:r>
      <w:r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.</w:t>
      </w:r>
    </w:p>
    <w:p w:rsidR="00C10C98" w:rsidRDefault="00C10C98" w:rsidP="00C10C98">
      <w:pPr>
        <w:widowControl/>
        <w:shd w:val="clear" w:color="auto" w:fill="FFFFFF"/>
        <w:autoSpaceDE/>
        <w:autoSpaceDN/>
        <w:spacing w:after="240"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Archeologia w temacie periodyzacji dziejów ma o wiele więcej wspólnego z historią sztuki, bo obie te dyscypliny bardziej przyjmują do wiadomości, że wydarzenie nie jest w stanie zmienić świata. To jego skutki i wynikłe po nim procesy są tak naprawdę ważne. Nie mówiąc już o tym, że w różnych zakątkach Ziemi wszystko działo się w różnym czasie, bo dopiero od niedawna mamy tak szybki przepływ informacji. I tak w periodyzacji sztuki w dużym uogólnieniu wygląda to tak:</w:t>
      </w:r>
    </w:p>
    <w:p w:rsidR="00C10C98" w:rsidRPr="003111A8" w:rsidRDefault="00C10C98" w:rsidP="00C10C98">
      <w:pPr>
        <w:widowControl/>
        <w:shd w:val="clear" w:color="auto" w:fill="FFFFFF"/>
        <w:autoSpaceDE/>
        <w:autoSpaceDN/>
        <w:spacing w:after="240"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Periodyzacja dziejów według historii sztuki</w:t>
      </w:r>
    </w:p>
    <w:p w:rsidR="00C10C98" w:rsidRPr="003111A8" w:rsidRDefault="00C10C98" w:rsidP="00C10C98">
      <w:pPr>
        <w:widowControl/>
        <w:numPr>
          <w:ilvl w:val="0"/>
          <w:numId w:val="2"/>
        </w:numPr>
        <w:shd w:val="clear" w:color="auto" w:fill="FFFFFF"/>
        <w:autoSpaceDE/>
        <w:autoSpaceDN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hyperlink r:id="rId12" w:anchor="prehistoria" w:history="1">
        <w:r w:rsidRPr="003111A8">
          <w:rPr>
            <w:rFonts w:ascii="Times New Roman" w:eastAsia="Times New Roman" w:hAnsi="Times New Roman" w:cs="Times New Roman"/>
            <w:b/>
            <w:bCs/>
            <w:color w:val="C41D49"/>
            <w:sz w:val="24"/>
            <w:szCs w:val="24"/>
            <w:u w:val="single"/>
            <w:bdr w:val="none" w:sz="0" w:space="0" w:color="auto" w:frame="1"/>
            <w:lang w:eastAsia="pl-PL"/>
          </w:rPr>
          <w:t>Prehistoria </w:t>
        </w:r>
      </w:hyperlink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(od ok. 50 000 lat p.n.e. do 4000/3500 lat p.n.e.)</w:t>
      </w:r>
    </w:p>
    <w:p w:rsidR="00C10C98" w:rsidRPr="003111A8" w:rsidRDefault="00C10C98" w:rsidP="00C10C98">
      <w:pPr>
        <w:widowControl/>
        <w:numPr>
          <w:ilvl w:val="0"/>
          <w:numId w:val="2"/>
        </w:numPr>
        <w:shd w:val="clear" w:color="auto" w:fill="FFFFFF"/>
        <w:autoSpaceDE/>
        <w:autoSpaceDN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hyperlink r:id="rId13" w:anchor="%C5%9Bredniowiecze" w:history="1">
        <w:r w:rsidRPr="003111A8">
          <w:rPr>
            <w:rFonts w:ascii="Times New Roman" w:eastAsia="Times New Roman" w:hAnsi="Times New Roman" w:cs="Times New Roman"/>
            <w:b/>
            <w:bCs/>
            <w:color w:val="C41D49"/>
            <w:sz w:val="24"/>
            <w:szCs w:val="24"/>
            <w:u w:val="single"/>
            <w:bdr w:val="none" w:sz="0" w:space="0" w:color="auto" w:frame="1"/>
            <w:lang w:eastAsia="pl-PL"/>
          </w:rPr>
          <w:t>Średniowiecze </w:t>
        </w:r>
      </w:hyperlink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(od ok. 3 500 lat p.n.e. do 476 r. n.e.)</w:t>
      </w:r>
    </w:p>
    <w:p w:rsidR="00C10C98" w:rsidRPr="003111A8" w:rsidRDefault="00C10C98" w:rsidP="00C10C98">
      <w:pPr>
        <w:widowControl/>
        <w:numPr>
          <w:ilvl w:val="1"/>
          <w:numId w:val="2"/>
        </w:numPr>
        <w:shd w:val="clear" w:color="auto" w:fill="FFFFFF"/>
        <w:autoSpaceDE/>
        <w:autoSpaceDN/>
        <w:ind w:left="1080"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Sztuka romańska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 (od ok. X w. n.e. do XII w.)</w:t>
      </w:r>
    </w:p>
    <w:p w:rsidR="00C10C98" w:rsidRPr="003111A8" w:rsidRDefault="00C10C98" w:rsidP="00C10C98">
      <w:pPr>
        <w:widowControl/>
        <w:numPr>
          <w:ilvl w:val="1"/>
          <w:numId w:val="2"/>
        </w:numPr>
        <w:shd w:val="clear" w:color="auto" w:fill="FFFFFF"/>
        <w:autoSpaceDE/>
        <w:autoSpaceDN/>
        <w:ind w:left="1080"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Sztuka gotycka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 (od XIII do XV w.)</w:t>
      </w:r>
    </w:p>
    <w:p w:rsidR="00C10C98" w:rsidRPr="003111A8" w:rsidRDefault="00C10C98" w:rsidP="00C10C98">
      <w:pPr>
        <w:widowControl/>
        <w:numPr>
          <w:ilvl w:val="0"/>
          <w:numId w:val="2"/>
        </w:numPr>
        <w:shd w:val="clear" w:color="auto" w:fill="FFFFFF"/>
        <w:autoSpaceDE/>
        <w:autoSpaceDN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hyperlink r:id="rId14" w:anchor="nowo%C5%BCytno%C5%9B%C4%87" w:history="1">
        <w:r w:rsidRPr="003111A8">
          <w:rPr>
            <w:rFonts w:ascii="Times New Roman" w:eastAsia="Times New Roman" w:hAnsi="Times New Roman" w:cs="Times New Roman"/>
            <w:b/>
            <w:bCs/>
            <w:color w:val="C41D49"/>
            <w:sz w:val="24"/>
            <w:szCs w:val="24"/>
            <w:u w:val="single"/>
            <w:bdr w:val="none" w:sz="0" w:space="0" w:color="auto" w:frame="1"/>
            <w:lang w:eastAsia="pl-PL"/>
          </w:rPr>
          <w:t>Nowożytność</w:t>
        </w:r>
      </w:hyperlink>
    </w:p>
    <w:p w:rsidR="00C10C98" w:rsidRPr="003111A8" w:rsidRDefault="00C10C98" w:rsidP="00C10C98">
      <w:pPr>
        <w:widowControl/>
        <w:numPr>
          <w:ilvl w:val="1"/>
          <w:numId w:val="2"/>
        </w:numPr>
        <w:shd w:val="clear" w:color="auto" w:fill="FFFFFF"/>
        <w:autoSpaceDE/>
        <w:autoSpaceDN/>
        <w:ind w:left="1080"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Renesans 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i </w:t>
      </w: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manieryzm 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(od końca XVI do połowy XVII w.)</w:t>
      </w:r>
    </w:p>
    <w:p w:rsidR="00C10C98" w:rsidRPr="003111A8" w:rsidRDefault="00C10C98" w:rsidP="00C10C98">
      <w:pPr>
        <w:widowControl/>
        <w:numPr>
          <w:ilvl w:val="1"/>
          <w:numId w:val="2"/>
        </w:numPr>
        <w:shd w:val="clear" w:color="auto" w:fill="FFFFFF"/>
        <w:autoSpaceDE/>
        <w:autoSpaceDN/>
        <w:ind w:left="1080"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Barok 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i </w:t>
      </w: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rokoko 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(od końca XVI do poł. XVIII w.)</w:t>
      </w:r>
    </w:p>
    <w:p w:rsidR="00C10C98" w:rsidRPr="003111A8" w:rsidRDefault="00C10C98" w:rsidP="00C10C98">
      <w:pPr>
        <w:widowControl/>
        <w:numPr>
          <w:ilvl w:val="0"/>
          <w:numId w:val="2"/>
        </w:numPr>
        <w:shd w:val="clear" w:color="auto" w:fill="FFFFFF"/>
        <w:autoSpaceDE/>
        <w:autoSpaceDN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41DC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bdr w:val="none" w:sz="0" w:space="0" w:color="auto" w:frame="1"/>
          <w:lang w:eastAsia="pl-PL"/>
        </w:rPr>
        <w:t>XIX i XXI w</w:t>
      </w: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.</w:t>
      </w:r>
    </w:p>
    <w:p w:rsidR="00C10C98" w:rsidRPr="003111A8" w:rsidRDefault="00C10C98" w:rsidP="00C10C98">
      <w:pPr>
        <w:widowControl/>
        <w:numPr>
          <w:ilvl w:val="1"/>
          <w:numId w:val="2"/>
        </w:numPr>
        <w:shd w:val="clear" w:color="auto" w:fill="FFFFFF"/>
        <w:autoSpaceDE/>
        <w:autoSpaceDN/>
        <w:ind w:left="1080"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Klasycyzm 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(ok. 1760 – 1830)</w:t>
      </w:r>
    </w:p>
    <w:p w:rsidR="00C10C98" w:rsidRPr="003111A8" w:rsidRDefault="00C10C98" w:rsidP="00C10C98">
      <w:pPr>
        <w:widowControl/>
        <w:numPr>
          <w:ilvl w:val="1"/>
          <w:numId w:val="2"/>
        </w:numPr>
        <w:shd w:val="clear" w:color="auto" w:fill="FFFFFF"/>
        <w:autoSpaceDE/>
        <w:autoSpaceDN/>
        <w:ind w:left="1080"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Romantyzm 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i </w:t>
      </w: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pozytywizm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 (od końca XVIIII w. do lat 40. XIX w.) – przy czym w Polsce impresjonizm przyjęto raczej bez szału</w:t>
      </w:r>
    </w:p>
    <w:p w:rsidR="00C10C98" w:rsidRPr="003111A8" w:rsidRDefault="00C10C98" w:rsidP="00C10C98">
      <w:pPr>
        <w:widowControl/>
        <w:numPr>
          <w:ilvl w:val="1"/>
          <w:numId w:val="2"/>
        </w:numPr>
        <w:shd w:val="clear" w:color="auto" w:fill="FFFFFF"/>
        <w:autoSpaceDE/>
        <w:autoSpaceDN/>
        <w:ind w:left="1080"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Młoda Polska 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(1890 – 1918) – czyli nasza odmiana modernizmu</w:t>
      </w:r>
    </w:p>
    <w:p w:rsidR="00C10C98" w:rsidRPr="003111A8" w:rsidRDefault="00C10C98" w:rsidP="00C10C98">
      <w:pPr>
        <w:widowControl/>
        <w:numPr>
          <w:ilvl w:val="1"/>
          <w:numId w:val="2"/>
        </w:numPr>
        <w:shd w:val="clear" w:color="auto" w:fill="FFFFFF"/>
        <w:autoSpaceDE/>
        <w:autoSpaceDN/>
        <w:ind w:left="1080"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Dwudziestolecie międzywojenne 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– i tu już modernizm pełną parą</w:t>
      </w:r>
    </w:p>
    <w:p w:rsidR="00C10C98" w:rsidRPr="00341DCB" w:rsidRDefault="00C10C98" w:rsidP="00C10C98">
      <w:pPr>
        <w:widowControl/>
        <w:numPr>
          <w:ilvl w:val="1"/>
          <w:numId w:val="2"/>
        </w:numPr>
        <w:shd w:val="clear" w:color="auto" w:fill="FFFFFF"/>
        <w:autoSpaceDE/>
        <w:autoSpaceDN/>
        <w:ind w:left="1080"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Po 1945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 xml:space="preserve"> – </w:t>
      </w:r>
      <w:r w:rsidRPr="00341DC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u w:val="single"/>
          <w:lang w:eastAsia="pl-PL"/>
        </w:rPr>
        <w:t>sztuka współczesna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, przy czym w czasach PRL obowiązującym nurtem był socrealizm, co zakończyło się w 1989 r.</w:t>
      </w:r>
      <w:r w:rsidRPr="00341DCB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 xml:space="preserve"> </w:t>
      </w:r>
    </w:p>
    <w:p w:rsidR="00C10C98" w:rsidRPr="003111A8" w:rsidRDefault="00C10C98" w:rsidP="00C10C98">
      <w:pPr>
        <w:widowControl/>
        <w:shd w:val="clear" w:color="auto" w:fill="FFFFFF"/>
        <w:autoSpaceDE/>
        <w:autoSpaceDN/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</w:pP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Najbardziej jednak ciekaw</w:t>
      </w:r>
      <w:r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a jest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 xml:space="preserve"> właśnie prehistoria, czyli </w:t>
      </w: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paleolit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, </w:t>
      </w: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mezolit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, </w:t>
      </w: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neolit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, </w:t>
      </w: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epoka brązu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 i </w:t>
      </w:r>
      <w:r w:rsidRPr="003111A8">
        <w:rPr>
          <w:rFonts w:ascii="Times New Roman" w:eastAsia="Times New Roman" w:hAnsi="Times New Roman" w:cs="Times New Roman"/>
          <w:b/>
          <w:bCs/>
          <w:color w:val="3A3A3A"/>
          <w:sz w:val="24"/>
          <w:szCs w:val="24"/>
          <w:bdr w:val="none" w:sz="0" w:space="0" w:color="auto" w:frame="1"/>
          <w:lang w:eastAsia="pl-PL"/>
        </w:rPr>
        <w:t>epoka żelaza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. No ale skoro już doszliśmy tak daleko</w:t>
      </w:r>
      <w:r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,</w:t>
      </w:r>
      <w:r w:rsidRPr="003111A8"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 xml:space="preserve"> to może warto zacząć tak naprawdę od początku</w:t>
      </w:r>
      <w:r>
        <w:rPr>
          <w:rFonts w:ascii="Times New Roman" w:eastAsia="Times New Roman" w:hAnsi="Times New Roman" w:cs="Times New Roman"/>
          <w:color w:val="3A3A3A"/>
          <w:sz w:val="24"/>
          <w:szCs w:val="24"/>
          <w:lang w:eastAsia="pl-PL"/>
        </w:rPr>
        <w:t>, pomoże w tym:</w:t>
      </w:r>
    </w:p>
    <w:p w:rsidR="00C10C98" w:rsidRPr="00D03A9A" w:rsidRDefault="00C10C98" w:rsidP="00C10C98">
      <w:pPr>
        <w:rPr>
          <w:rFonts w:ascii="Times New Roman" w:hAnsi="Times New Roman" w:cs="Times New Roman"/>
          <w:sz w:val="24"/>
          <w:szCs w:val="24"/>
        </w:rPr>
      </w:pPr>
      <w:hyperlink r:id="rId15" w:history="1">
        <w:r w:rsidRPr="00D03A9A">
          <w:rPr>
            <w:rStyle w:val="Hipercze"/>
            <w:rFonts w:ascii="Times New Roman" w:hAnsi="Times New Roman" w:cs="Times New Roman"/>
            <w:sz w:val="24"/>
            <w:szCs w:val="24"/>
          </w:rPr>
          <w:t>https://archeologia.com.pl/podzial-na-epoki/</w:t>
        </w:r>
      </w:hyperlink>
    </w:p>
    <w:p w:rsidR="00C10C98" w:rsidRPr="00D03A9A" w:rsidRDefault="00C10C98" w:rsidP="00C10C98">
      <w:pPr>
        <w:rPr>
          <w:rFonts w:ascii="Times New Roman" w:hAnsi="Times New Roman" w:cs="Times New Roman"/>
          <w:sz w:val="24"/>
          <w:szCs w:val="24"/>
        </w:rPr>
      </w:pPr>
    </w:p>
    <w:p w:rsidR="00C10C98" w:rsidRPr="00D03A9A" w:rsidRDefault="00C10C98" w:rsidP="00C10C98">
      <w:pPr>
        <w:rPr>
          <w:rFonts w:ascii="Times New Roman" w:hAnsi="Times New Roman" w:cs="Times New Roman"/>
          <w:sz w:val="24"/>
          <w:szCs w:val="24"/>
        </w:rPr>
      </w:pPr>
      <w:r w:rsidRPr="00D03A9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207BAF" wp14:editId="3B35C137">
            <wp:extent cx="5760720" cy="4193787"/>
            <wp:effectExtent l="0" t="0" r="0" b="0"/>
            <wp:docPr id="2" name="Obraz 2" descr="Pin on pulp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n on pulpit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93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C98" w:rsidRPr="009560D8" w:rsidRDefault="00C10C98" w:rsidP="00C10C98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C10C98" w:rsidRPr="009560D8" w:rsidRDefault="00C10C98" w:rsidP="00C10C98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9560D8">
        <w:rPr>
          <w:rFonts w:ascii="Times New Roman" w:hAnsi="Times New Roman" w:cs="Times New Roman"/>
          <w:b/>
          <w:bCs/>
          <w:color w:val="FF0000"/>
          <w:sz w:val="24"/>
          <w:szCs w:val="24"/>
        </w:rPr>
        <w:t>Oto przykłady jak zapisać liczby</w:t>
      </w: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rzymskie.</w:t>
      </w:r>
    </w:p>
    <w:p w:rsidR="00C10C98" w:rsidRPr="00D03A9A" w:rsidRDefault="00C10C98" w:rsidP="00C10C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C10C98" w:rsidRPr="00D03A9A" w:rsidRDefault="00C10C98" w:rsidP="00C10C98">
      <w:pPr>
        <w:rPr>
          <w:rFonts w:ascii="Times New Roman" w:hAnsi="Times New Roman" w:cs="Times New Roman"/>
          <w:sz w:val="24"/>
          <w:szCs w:val="24"/>
        </w:rPr>
      </w:pPr>
      <w:r w:rsidRPr="00D03A9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423040" wp14:editId="3E41D5DA">
            <wp:extent cx="5757001" cy="2744093"/>
            <wp:effectExtent l="0" t="0" r="0" b="0"/>
            <wp:docPr id="6" name="Obraz 6" descr="Cyfry rzymskie - Liczby w systemie rzymskim - MatFiz24.p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yfry rzymskie - Liczby w systemie rzymskim - MatFiz24.pl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7690" cy="2777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0C98" w:rsidRPr="00D03A9A" w:rsidRDefault="00C10C98" w:rsidP="00C10C98">
      <w:pPr>
        <w:rPr>
          <w:rFonts w:ascii="Times New Roman" w:hAnsi="Times New Roman" w:cs="Times New Roman"/>
          <w:sz w:val="24"/>
          <w:szCs w:val="24"/>
        </w:rPr>
      </w:pPr>
    </w:p>
    <w:p w:rsidR="00C10C98" w:rsidRDefault="00C10C98" w:rsidP="00C10C98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Zaprezentowany wyżej</w:t>
      </w:r>
      <w:r w:rsidRPr="007C79D1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materiał pomoże Ci uzupełnić poniższą kartę pracy.</w:t>
      </w:r>
    </w:p>
    <w:p w:rsidR="00C10C98" w:rsidRPr="007C79D1" w:rsidRDefault="00C10C98" w:rsidP="00C10C98">
      <w:pPr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FF0000"/>
          <w:sz w:val="24"/>
          <w:szCs w:val="24"/>
        </w:rPr>
        <w:t>Kolejne karty zostaną ci wysłane w kolejnym tygodniu. Życzę ci powodzenia i duża radości w wykonaniu przesłanych zadań.</w:t>
      </w:r>
    </w:p>
    <w:p w:rsidR="00C10C98" w:rsidRDefault="00C10C98">
      <w:pPr>
        <w:rPr>
          <w:noProof/>
        </w:rPr>
      </w:pPr>
    </w:p>
    <w:p w:rsidR="00C10C98" w:rsidRDefault="00C10C98">
      <w:pPr>
        <w:rPr>
          <w:noProof/>
        </w:rPr>
      </w:pPr>
    </w:p>
    <w:p w:rsidR="00C10C98" w:rsidRDefault="00C10C98">
      <w:pPr>
        <w:rPr>
          <w:noProof/>
        </w:rPr>
      </w:pPr>
    </w:p>
    <w:p w:rsidR="00C10C98" w:rsidRDefault="00C10C98">
      <w:pPr>
        <w:rPr>
          <w:noProof/>
        </w:rPr>
      </w:pPr>
    </w:p>
    <w:p w:rsidR="00C10C98" w:rsidRDefault="00C10C98">
      <w:pPr>
        <w:rPr>
          <w:noProof/>
        </w:rPr>
      </w:pPr>
    </w:p>
    <w:p w:rsidR="00C10C98" w:rsidRDefault="00C10C98">
      <w:pPr>
        <w:rPr>
          <w:noProof/>
        </w:rPr>
      </w:pPr>
    </w:p>
    <w:p w:rsidR="000E4994" w:rsidRDefault="00C10C98">
      <w:r>
        <w:rPr>
          <w:noProof/>
        </w:rPr>
        <w:drawing>
          <wp:inline distT="0" distB="0" distL="0" distR="0" wp14:anchorId="4F95970A" wp14:editId="38D03393">
            <wp:extent cx="5715512" cy="8346731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25431" t="22240" r="46049" b="7690"/>
                    <a:stretch/>
                  </pic:blipFill>
                  <pic:spPr bwMode="auto">
                    <a:xfrm>
                      <a:off x="0" y="0"/>
                      <a:ext cx="5741360" cy="83844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E4994">
      <w:headerReference w:type="default" r:id="rId19"/>
      <w:footerReference w:type="defaul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327F" w:rsidRDefault="005D327F" w:rsidP="00C10C98">
      <w:r>
        <w:separator/>
      </w:r>
    </w:p>
  </w:endnote>
  <w:endnote w:type="continuationSeparator" w:id="0">
    <w:p w:rsidR="005D327F" w:rsidRDefault="005D327F" w:rsidP="00C10C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20703737"/>
      <w:docPartObj>
        <w:docPartGallery w:val="Page Numbers (Bottom of Page)"/>
        <w:docPartUnique/>
      </w:docPartObj>
    </w:sdtPr>
    <w:sdtContent>
      <w:p w:rsidR="00C10C98" w:rsidRDefault="00C10C9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C10C98" w:rsidRDefault="00C10C9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327F" w:rsidRDefault="005D327F" w:rsidP="00C10C98">
      <w:r>
        <w:separator/>
      </w:r>
    </w:p>
  </w:footnote>
  <w:footnote w:type="continuationSeparator" w:id="0">
    <w:p w:rsidR="005D327F" w:rsidRDefault="005D327F" w:rsidP="00C10C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10C98" w:rsidRDefault="00C10C98">
    <w:pPr>
      <w:pStyle w:val="Nagwek"/>
    </w:pPr>
    <w:r>
      <w:t>Edyta Kondracka</w:t>
    </w:r>
  </w:p>
  <w:p w:rsidR="00C10C98" w:rsidRDefault="00C10C9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205393"/>
    <w:multiLevelType w:val="multilevel"/>
    <w:tmpl w:val="031CB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4401D0"/>
    <w:multiLevelType w:val="multilevel"/>
    <w:tmpl w:val="76A4E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C98"/>
    <w:rsid w:val="000E4994"/>
    <w:rsid w:val="001976CA"/>
    <w:rsid w:val="005D327F"/>
    <w:rsid w:val="00BE7040"/>
    <w:rsid w:val="00C10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5D46C"/>
  <w15:chartTrackingRefBased/>
  <w15:docId w15:val="{8B3546BB-1324-4D6D-9D35-CFF2689AB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Verdana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C10C98"/>
    <w:pPr>
      <w:widowControl w:val="0"/>
      <w:autoSpaceDE w:val="0"/>
      <w:autoSpaceDN w:val="0"/>
      <w:spacing w:after="0" w:line="240" w:lineRule="auto"/>
    </w:pPr>
    <w:rPr>
      <w:rFonts w:ascii="Verdana" w:hAnsi="Verdana" w:cs="Verdana"/>
    </w:rPr>
  </w:style>
  <w:style w:type="paragraph" w:styleId="Nagwek1">
    <w:name w:val="heading 1"/>
    <w:basedOn w:val="Normalny"/>
    <w:link w:val="Nagwek1Znak"/>
    <w:uiPriority w:val="1"/>
    <w:qFormat/>
    <w:rsid w:val="001976CA"/>
    <w:pPr>
      <w:spacing w:before="41"/>
      <w:ind w:left="1516" w:right="1533"/>
      <w:jc w:val="center"/>
      <w:outlineLvl w:val="0"/>
    </w:pPr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leParagraph">
    <w:name w:val="Table Paragraph"/>
    <w:basedOn w:val="Normalny"/>
    <w:uiPriority w:val="1"/>
    <w:qFormat/>
    <w:rsid w:val="001976CA"/>
    <w:rPr>
      <w:rFonts w:ascii="Times New Roman" w:eastAsia="Times New Roman" w:hAnsi="Times New Roman" w:cs="Times New Roman"/>
    </w:rPr>
  </w:style>
  <w:style w:type="character" w:customStyle="1" w:styleId="Nagwek1Znak">
    <w:name w:val="Nagłówek 1 Znak"/>
    <w:basedOn w:val="Domylnaczcionkaakapitu"/>
    <w:link w:val="Nagwek1"/>
    <w:uiPriority w:val="1"/>
    <w:rsid w:val="001976CA"/>
    <w:rPr>
      <w:rFonts w:ascii="Arial" w:eastAsia="Arial" w:hAnsi="Arial" w:cs="Arial"/>
      <w:sz w:val="24"/>
      <w:szCs w:val="24"/>
    </w:rPr>
  </w:style>
  <w:style w:type="paragraph" w:styleId="Tytu">
    <w:name w:val="Title"/>
    <w:basedOn w:val="Normalny"/>
    <w:link w:val="TytuZnak"/>
    <w:uiPriority w:val="1"/>
    <w:qFormat/>
    <w:rsid w:val="001976CA"/>
    <w:pPr>
      <w:ind w:left="1516" w:right="1533"/>
      <w:jc w:val="center"/>
    </w:pPr>
    <w:rPr>
      <w:rFonts w:ascii="Arial" w:eastAsia="Arial" w:hAnsi="Arial" w:cs="Arial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"/>
    <w:rsid w:val="001976CA"/>
    <w:rPr>
      <w:rFonts w:ascii="Arial" w:eastAsia="Arial" w:hAnsi="Arial" w:cs="Arial"/>
      <w:sz w:val="52"/>
      <w:szCs w:val="52"/>
    </w:rPr>
  </w:style>
  <w:style w:type="paragraph" w:styleId="Tekstpodstawowy">
    <w:name w:val="Body Text"/>
    <w:basedOn w:val="Normalny"/>
    <w:link w:val="TekstpodstawowyZnak"/>
    <w:uiPriority w:val="1"/>
    <w:qFormat/>
    <w:rsid w:val="001976CA"/>
    <w:rPr>
      <w:b/>
      <w:bCs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976CA"/>
    <w:rPr>
      <w:rFonts w:ascii="Verdana" w:eastAsia="Verdana" w:hAnsi="Verdana" w:cs="Verdana"/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C10C98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10C9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10C98"/>
    <w:rPr>
      <w:rFonts w:ascii="Verdana" w:hAnsi="Verdana" w:cs="Verdana"/>
    </w:rPr>
  </w:style>
  <w:style w:type="paragraph" w:styleId="Stopka">
    <w:name w:val="footer"/>
    <w:basedOn w:val="Normalny"/>
    <w:link w:val="StopkaZnak"/>
    <w:uiPriority w:val="99"/>
    <w:unhideWhenUsed/>
    <w:rsid w:val="00C10C9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10C98"/>
    <w:rPr>
      <w:rFonts w:ascii="Verdana" w:hAnsi="Verdana" w:cs="Verdan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cheologia.com.pl/podzial-na-epoki/" TargetMode="External"/><Relationship Id="rId13" Type="http://schemas.openxmlformats.org/officeDocument/2006/relationships/hyperlink" Target="https://archeologia.com.pl/podzial-na-epoki/" TargetMode="External"/><Relationship Id="rId18" Type="http://schemas.openxmlformats.org/officeDocument/2006/relationships/image" Target="media/image3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archeologia.com.pl/podzial-na-epoki/" TargetMode="External"/><Relationship Id="rId12" Type="http://schemas.openxmlformats.org/officeDocument/2006/relationships/hyperlink" Target="https://archeologia.com.pl/podzial-na-epoki/" TargetMode="External"/><Relationship Id="rId1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image" Target="media/image1.pn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rcheologia.com.pl/podzial-na-epoki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archeologia.com.pl/podzial-na-epoki/" TargetMode="External"/><Relationship Id="rId10" Type="http://schemas.openxmlformats.org/officeDocument/2006/relationships/hyperlink" Target="https://archeologia.com.pl/podzial-na-epoki/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archeologia.com.pl/podzial-na-epoki/" TargetMode="External"/><Relationship Id="rId14" Type="http://schemas.openxmlformats.org/officeDocument/2006/relationships/hyperlink" Target="https://archeologia.com.pl/podzial-na-epoki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506</Words>
  <Characters>3041</Characters>
  <Application>Microsoft Office Word</Application>
  <DocSecurity>0</DocSecurity>
  <Lines>25</Lines>
  <Paragraphs>7</Paragraphs>
  <ScaleCrop>false</ScaleCrop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KONDRACKA</dc:creator>
  <cp:keywords/>
  <dc:description/>
  <cp:lastModifiedBy>EDYTA KONDRACKA</cp:lastModifiedBy>
  <cp:revision>1</cp:revision>
  <dcterms:created xsi:type="dcterms:W3CDTF">2020-11-15T18:34:00Z</dcterms:created>
  <dcterms:modified xsi:type="dcterms:W3CDTF">2020-11-15T18:41:00Z</dcterms:modified>
</cp:coreProperties>
</file>